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4473A6C2" w:rsidR="007D277A" w:rsidRPr="00AA1F33" w:rsidRDefault="007D277A" w:rsidP="0018217D">
      <w:pPr>
        <w:spacing w:after="120" w:line="240" w:lineRule="auto"/>
      </w:pPr>
      <w:r w:rsidRPr="00AA1F33">
        <w:rPr>
          <w:rFonts w:cstheme="minorHAnsi"/>
          <w:b/>
          <w:bCs/>
        </w:rPr>
        <w:t>Institution Name</w:t>
      </w:r>
      <w:r w:rsidRPr="00AA1F33">
        <w:rPr>
          <w:rFonts w:cstheme="minorHAnsi"/>
        </w:rPr>
        <w:t>: _</w:t>
      </w:r>
      <w:r w:rsidR="00222382">
        <w:rPr>
          <w:rFonts w:cstheme="minorHAnsi"/>
          <w:u w:val="single"/>
        </w:rPr>
        <w:t>Adrian’s Beauty College of Turlock</w:t>
      </w:r>
      <w:r w:rsidRPr="00AA1F33">
        <w:rPr>
          <w:rFonts w:cstheme="minorHAnsi"/>
        </w:rPr>
        <w:t>__________</w:t>
      </w:r>
      <w:r w:rsidR="00AA1F33">
        <w:rPr>
          <w:rFonts w:cstheme="minorHAnsi"/>
        </w:rPr>
        <w:t>_____</w:t>
      </w:r>
      <w:r w:rsidRPr="00AA1F33">
        <w:rPr>
          <w:rFonts w:cstheme="minorHAnsi"/>
          <w:b/>
          <w:bCs/>
        </w:rPr>
        <w:t xml:space="preserve"> </w:t>
      </w:r>
      <w:r w:rsidRPr="00AA1F33">
        <w:rPr>
          <w:b/>
          <w:bCs/>
        </w:rPr>
        <w:t>Date</w:t>
      </w:r>
      <w:r w:rsidR="0050374F" w:rsidRPr="00AA1F33">
        <w:rPr>
          <w:b/>
          <w:bCs/>
        </w:rPr>
        <w:t xml:space="preserve"> of Report</w:t>
      </w:r>
      <w:r w:rsidRPr="00AA1F33">
        <w:t>: _</w:t>
      </w:r>
      <w:r w:rsidR="00832786">
        <w:rPr>
          <w:u w:val="single"/>
        </w:rPr>
        <w:t>01/10/2021</w:t>
      </w:r>
      <w:r w:rsidRPr="00AA1F33">
        <w:t>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w:t>
      </w:r>
      <w:r w:rsidR="00832786" w:rsidRPr="00832786">
        <w:rPr>
          <w:u w:val="single"/>
        </w:rPr>
        <w:t>12/31/2020</w:t>
      </w:r>
      <w:r w:rsidR="00AA1F33" w:rsidRPr="00AA1F33">
        <w:t>______</w:t>
      </w:r>
    </w:p>
    <w:p w14:paraId="2A9BFD94" w14:textId="2B3EDE50"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222382">
        <w:rPr>
          <w:u w:val="single"/>
        </w:rPr>
        <w:t>$106,720.00</w:t>
      </w:r>
      <w:r w:rsidR="00617CC1" w:rsidRPr="00AA1F33">
        <w:t>_</w:t>
      </w:r>
      <w:r w:rsidR="0054164B">
        <w:t>_</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3EEBBA29" w:rsidR="007D277A" w:rsidRPr="00206D77" w:rsidRDefault="00832786" w:rsidP="00A51E00">
            <w:pPr>
              <w:rPr>
                <w:rFonts w:cstheme="minorHAnsi"/>
                <w:sz w:val="21"/>
                <w:szCs w:val="21"/>
              </w:rPr>
            </w:pPr>
            <w:r>
              <w:rPr>
                <w:rFonts w:cstheme="minorHAnsi"/>
                <w:sz w:val="21"/>
                <w:szCs w:val="21"/>
              </w:rPr>
              <w:t>$</w:t>
            </w:r>
            <w:r w:rsidR="00222382">
              <w:rPr>
                <w:rFonts w:cstheme="minorHAnsi"/>
                <w:sz w:val="21"/>
                <w:szCs w:val="21"/>
              </w:rPr>
              <w:t>0.00</w:t>
            </w: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C5799D8" w:rsidR="007D277A" w:rsidRPr="00206D77" w:rsidRDefault="00222382" w:rsidP="00A51E00">
            <w:pPr>
              <w:rPr>
                <w:rFonts w:cstheme="minorHAnsi"/>
                <w:sz w:val="21"/>
                <w:szCs w:val="21"/>
              </w:rPr>
            </w:pPr>
            <w:r>
              <w:rPr>
                <w:rFonts w:cstheme="minorHAnsi"/>
                <w:sz w:val="21"/>
                <w:szCs w:val="21"/>
              </w:rPr>
              <w:t>$0.00</w:t>
            </w: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0C473F73" w:rsidR="007D277A" w:rsidRPr="00206D77" w:rsidRDefault="00222382" w:rsidP="00A51E00">
            <w:pPr>
              <w:rPr>
                <w:rFonts w:cstheme="minorHAnsi"/>
                <w:sz w:val="21"/>
                <w:szCs w:val="21"/>
              </w:rPr>
            </w:pPr>
            <w:r>
              <w:rPr>
                <w:rFonts w:cstheme="minorHAnsi"/>
                <w:sz w:val="21"/>
                <w:szCs w:val="21"/>
              </w:rPr>
              <w:t>$0.00</w:t>
            </w: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EE4212A" w:rsidR="007D277A" w:rsidRPr="00206D77" w:rsidRDefault="00222382" w:rsidP="00A51E00">
            <w:pPr>
              <w:rPr>
                <w:rFonts w:cstheme="minorHAnsi"/>
                <w:sz w:val="21"/>
                <w:szCs w:val="21"/>
              </w:rPr>
            </w:pPr>
            <w:r>
              <w:rPr>
                <w:rFonts w:cstheme="minorHAnsi"/>
                <w:sz w:val="21"/>
                <w:szCs w:val="21"/>
              </w:rPr>
              <w:t>$0.00</w:t>
            </w: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013E8AC2" w:rsidR="007D277A" w:rsidRPr="00206D77" w:rsidRDefault="00222382" w:rsidP="00A51E00">
            <w:pPr>
              <w:rPr>
                <w:rFonts w:cstheme="minorHAnsi"/>
                <w:sz w:val="21"/>
                <w:szCs w:val="21"/>
              </w:rPr>
            </w:pPr>
            <w:r>
              <w:rPr>
                <w:rFonts w:cstheme="minorHAnsi"/>
                <w:sz w:val="21"/>
                <w:szCs w:val="21"/>
              </w:rPr>
              <w:t>$0.00</w:t>
            </w: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0B2E471F" w:rsidR="004D4A3F" w:rsidRPr="00206D77" w:rsidRDefault="00222382" w:rsidP="004D4A3F">
            <w:pPr>
              <w:rPr>
                <w:rFonts w:cstheme="minorHAnsi"/>
                <w:sz w:val="21"/>
                <w:szCs w:val="21"/>
              </w:rPr>
            </w:pPr>
            <w:r>
              <w:rPr>
                <w:rFonts w:cstheme="minorHAnsi"/>
                <w:sz w:val="21"/>
                <w:szCs w:val="21"/>
              </w:rPr>
              <w:t>$0.00</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7777777"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F47352F" w:rsidR="007D277A" w:rsidRPr="00206D77" w:rsidRDefault="00222382" w:rsidP="00A51E00">
            <w:pPr>
              <w:rPr>
                <w:rFonts w:cstheme="minorHAnsi"/>
                <w:sz w:val="21"/>
                <w:szCs w:val="21"/>
              </w:rPr>
            </w:pPr>
            <w:r>
              <w:rPr>
                <w:rFonts w:cstheme="minorHAnsi"/>
                <w:sz w:val="21"/>
                <w:szCs w:val="21"/>
              </w:rPr>
              <w:t>$0.00</w:t>
            </w: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24153BC7" w:rsidR="007D277A" w:rsidRPr="00206D77" w:rsidRDefault="00222382" w:rsidP="00A51E00">
            <w:pPr>
              <w:rPr>
                <w:rFonts w:cstheme="minorHAnsi"/>
                <w:sz w:val="21"/>
                <w:szCs w:val="21"/>
              </w:rPr>
            </w:pPr>
            <w:r>
              <w:rPr>
                <w:rFonts w:cstheme="minorHAnsi"/>
                <w:sz w:val="21"/>
                <w:szCs w:val="21"/>
              </w:rPr>
              <w:t>$0.00</w:t>
            </w: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26579CFB" w:rsidR="007D277A" w:rsidRPr="00206D77" w:rsidRDefault="00222382" w:rsidP="00A51E00">
            <w:pPr>
              <w:rPr>
                <w:rFonts w:cstheme="minorHAnsi"/>
                <w:sz w:val="21"/>
                <w:szCs w:val="21"/>
              </w:rPr>
            </w:pPr>
            <w:r>
              <w:rPr>
                <w:rFonts w:cstheme="minorHAnsi"/>
                <w:sz w:val="21"/>
                <w:szCs w:val="21"/>
              </w:rPr>
              <w:t>$0.00</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1FF309C8" w:rsidR="007D277A" w:rsidRPr="00206D77" w:rsidRDefault="00222382" w:rsidP="00A51E00">
            <w:pPr>
              <w:rPr>
                <w:rFonts w:cstheme="minorHAnsi"/>
                <w:sz w:val="21"/>
                <w:szCs w:val="21"/>
                <w:highlight w:val="green"/>
              </w:rPr>
            </w:pPr>
            <w:r>
              <w:rPr>
                <w:rFonts w:cstheme="minorHAnsi"/>
                <w:sz w:val="21"/>
                <w:szCs w:val="21"/>
              </w:rPr>
              <w:t>$0.00</w:t>
            </w: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6E4436C"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4242EA97" w:rsidR="007D277A" w:rsidRPr="00206D77" w:rsidRDefault="00222382" w:rsidP="00A51E00">
            <w:pPr>
              <w:rPr>
                <w:rFonts w:cstheme="minorHAnsi"/>
                <w:b/>
                <w:bCs/>
                <w:sz w:val="21"/>
                <w:szCs w:val="21"/>
                <w:highlight w:val="green"/>
              </w:rPr>
            </w:pPr>
            <w:r>
              <w:rPr>
                <w:rFonts w:cstheme="minorHAnsi"/>
                <w:sz w:val="21"/>
                <w:szCs w:val="21"/>
              </w:rPr>
              <w:t>$0.00</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0E692611" w:rsidR="007D277A" w:rsidRPr="00222382" w:rsidRDefault="00222382" w:rsidP="00A51E00">
            <w:pPr>
              <w:rPr>
                <w:rFonts w:cstheme="minorHAnsi"/>
                <w:b/>
                <w:bCs/>
                <w:sz w:val="21"/>
                <w:szCs w:val="21"/>
              </w:rPr>
            </w:pPr>
            <w:r w:rsidRPr="00222382">
              <w:rPr>
                <w:rFonts w:cstheme="minorHAnsi"/>
                <w:b/>
                <w:bCs/>
                <w:sz w:val="21"/>
                <w:szCs w:val="21"/>
              </w:rPr>
              <w:t>$0.00</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AEF1E" w14:textId="77777777" w:rsidR="003F371D" w:rsidRDefault="003F371D" w:rsidP="004F7FDE">
      <w:pPr>
        <w:spacing w:after="0" w:line="240" w:lineRule="auto"/>
      </w:pPr>
      <w:r>
        <w:separator/>
      </w:r>
    </w:p>
  </w:endnote>
  <w:endnote w:type="continuationSeparator" w:id="0">
    <w:p w14:paraId="7CB43674" w14:textId="77777777" w:rsidR="003F371D" w:rsidRDefault="003F371D" w:rsidP="004F7FDE">
      <w:pPr>
        <w:spacing w:after="0" w:line="240" w:lineRule="auto"/>
      </w:pPr>
      <w:r>
        <w:continuationSeparator/>
      </w:r>
    </w:p>
  </w:endnote>
  <w:endnote w:type="continuationNotice" w:id="1">
    <w:p w14:paraId="356574A7" w14:textId="77777777" w:rsidR="003F371D" w:rsidRDefault="003F37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30425" w14:textId="77777777" w:rsidR="003F371D" w:rsidRPr="00766F4C" w:rsidRDefault="003F371D" w:rsidP="004F7FDE">
      <w:pPr>
        <w:spacing w:after="0" w:line="240" w:lineRule="auto"/>
        <w:rPr>
          <w:sz w:val="20"/>
        </w:rPr>
      </w:pPr>
      <w:r w:rsidRPr="00766F4C">
        <w:rPr>
          <w:sz w:val="20"/>
        </w:rPr>
        <w:separator/>
      </w:r>
    </w:p>
  </w:footnote>
  <w:footnote w:type="continuationSeparator" w:id="0">
    <w:p w14:paraId="5D4501D7" w14:textId="77777777" w:rsidR="003F371D" w:rsidRDefault="003F371D" w:rsidP="004F7FDE">
      <w:pPr>
        <w:spacing w:after="0" w:line="240" w:lineRule="auto"/>
      </w:pPr>
      <w:r>
        <w:continuationSeparator/>
      </w:r>
    </w:p>
  </w:footnote>
  <w:footnote w:type="continuationNotice" w:id="1">
    <w:p w14:paraId="1B08FD29" w14:textId="77777777" w:rsidR="003F371D" w:rsidRDefault="003F371D">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42C8" w14:textId="13C051D7" w:rsidR="002224E7" w:rsidRDefault="003F371D">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5A87F" w14:textId="6BA4F295" w:rsidR="002224E7" w:rsidRDefault="003F371D">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382"/>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371D"/>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002"/>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2786"/>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2021-02-03T22:22:00Z</dcterms:created>
  <dcterms:modified xsi:type="dcterms:W3CDTF">2021-02-03T22:22:00Z</dcterms:modified>
  <cp:contentStatus/>
</cp:coreProperties>
</file>